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C0" w:rsidRDefault="00713DC0" w:rsidP="00713DC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0"/>
        <w:gridCol w:w="55"/>
        <w:gridCol w:w="6475"/>
      </w:tblGrid>
      <w:tr w:rsidR="00713DC0" w:rsidRPr="00713DC0" w:rsidTr="00652C0E">
        <w:tc>
          <w:tcPr>
            <w:tcW w:w="6420" w:type="dxa"/>
            <w:shd w:val="clear" w:color="auto" w:fill="BFBFBF" w:themeFill="background1" w:themeFillShade="BF"/>
          </w:tcPr>
          <w:p w:rsidR="00713DC0" w:rsidRPr="00713DC0" w:rsidRDefault="00713DC0" w:rsidP="00713D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3DC0">
              <w:rPr>
                <w:rFonts w:ascii="Times New Roman" w:hAnsi="Times New Roman" w:cs="Times New Roman"/>
                <w:b/>
                <w:lang w:val="ru-RU"/>
              </w:rPr>
              <w:t>Старая редакция</w:t>
            </w:r>
          </w:p>
        </w:tc>
        <w:tc>
          <w:tcPr>
            <w:tcW w:w="6530" w:type="dxa"/>
            <w:gridSpan w:val="2"/>
            <w:shd w:val="clear" w:color="auto" w:fill="BFBFBF" w:themeFill="background1" w:themeFillShade="BF"/>
          </w:tcPr>
          <w:p w:rsidR="00713DC0" w:rsidRPr="00713DC0" w:rsidRDefault="00713DC0" w:rsidP="00713D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3DC0">
              <w:rPr>
                <w:rFonts w:ascii="Times New Roman" w:hAnsi="Times New Roman" w:cs="Times New Roman"/>
                <w:b/>
                <w:lang w:val="ru-RU"/>
              </w:rPr>
              <w:t>Новая редакция</w:t>
            </w:r>
          </w:p>
        </w:tc>
      </w:tr>
      <w:tr w:rsidR="007C1C0A" w:rsidRPr="00791239" w:rsidTr="00AA2625">
        <w:tc>
          <w:tcPr>
            <w:tcW w:w="12950" w:type="dxa"/>
            <w:gridSpan w:val="3"/>
            <w:shd w:val="clear" w:color="auto" w:fill="FFFFFF" w:themeFill="background1"/>
          </w:tcPr>
          <w:p w:rsidR="007C1C0A" w:rsidRPr="00713DC0" w:rsidRDefault="007C1C0A" w:rsidP="007C1C0A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7C1C0A">
              <w:rPr>
                <w:rFonts w:ascii="Times New Roman" w:hAnsi="Times New Roman" w:cs="Times New Roman"/>
                <w:b/>
                <w:lang w:val="ru-RU"/>
              </w:rPr>
              <w:t>Договор оказания услуг по учету иностранных финансовых инструментов, не квалифицированных в качестве ценных бумаг</w:t>
            </w:r>
            <w:r w:rsidR="00196C9F">
              <w:rPr>
                <w:rFonts w:ascii="Times New Roman" w:hAnsi="Times New Roman" w:cs="Times New Roman"/>
                <w:b/>
                <w:lang w:val="ru-RU"/>
              </w:rPr>
              <w:t xml:space="preserve"> и приложения к нему</w:t>
            </w:r>
          </w:p>
        </w:tc>
      </w:tr>
      <w:tr w:rsidR="007C1C0A" w:rsidRPr="00791239" w:rsidTr="007C1C0A">
        <w:trPr>
          <w:trHeight w:val="908"/>
        </w:trPr>
        <w:tc>
          <w:tcPr>
            <w:tcW w:w="12950" w:type="dxa"/>
            <w:gridSpan w:val="3"/>
            <w:shd w:val="clear" w:color="auto" w:fill="FFFFFF" w:themeFill="background1"/>
          </w:tcPr>
          <w:p w:rsidR="007C1C0A" w:rsidRPr="007C1C0A" w:rsidRDefault="007C1C0A" w:rsidP="007C1C0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C1C0A">
              <w:rPr>
                <w:rFonts w:ascii="Times New Roman" w:hAnsi="Times New Roman" w:cs="Times New Roman"/>
                <w:color w:val="FF0000"/>
                <w:lang w:val="ru-RU"/>
              </w:rPr>
              <w:t xml:space="preserve">В связи с изменением </w:t>
            </w:r>
            <w:r w:rsidR="00196C9F">
              <w:rPr>
                <w:rFonts w:ascii="Times New Roman" w:hAnsi="Times New Roman" w:cs="Times New Roman"/>
                <w:color w:val="FF0000"/>
                <w:lang w:val="ru-RU"/>
              </w:rPr>
              <w:t xml:space="preserve">организационно-правовой формы </w:t>
            </w:r>
            <w:r w:rsidRPr="007C1C0A">
              <w:rPr>
                <w:rFonts w:ascii="Times New Roman" w:hAnsi="Times New Roman" w:cs="Times New Roman"/>
                <w:color w:val="FF0000"/>
                <w:lang w:val="ru-RU"/>
              </w:rPr>
              <w:t xml:space="preserve">Банка по тексту 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Договора оказания услуг по учету иностранных финансовых инструментов, не квалифицированных в качестве ценных бумаг, </w:t>
            </w:r>
            <w:r w:rsidRPr="007C1C0A">
              <w:rPr>
                <w:rFonts w:ascii="Times New Roman" w:hAnsi="Times New Roman" w:cs="Times New Roman"/>
                <w:color w:val="FF0000"/>
                <w:lang w:val="ru-RU"/>
              </w:rPr>
              <w:t>и всех приложений к нему полное наименование «Публичное акционерное общество Банк Синара» в соответствующем падеже заменено на «Акционерное общество Банк Синара» в соответствующем падеже, а сокращённое наименование «ПАО Банк Синара» в соответствующем падеже – на «АО Банк Синара» в соответствующем падеже.</w:t>
            </w:r>
            <w:r w:rsidRPr="007C1C0A">
              <w:rPr>
                <w:rFonts w:ascii="Times New Roman" w:hAnsi="Times New Roman" w:cs="Times New Roman"/>
                <w:lang w:val="ru-RU"/>
              </w:rPr>
              <w:tab/>
            </w:r>
            <w:bookmarkStart w:id="0" w:name="_GoBack"/>
            <w:bookmarkEnd w:id="0"/>
          </w:p>
        </w:tc>
      </w:tr>
      <w:tr w:rsidR="00196C9F" w:rsidRPr="00791239" w:rsidTr="00196C9F">
        <w:trPr>
          <w:trHeight w:val="323"/>
        </w:trPr>
        <w:tc>
          <w:tcPr>
            <w:tcW w:w="12950" w:type="dxa"/>
            <w:gridSpan w:val="3"/>
            <w:shd w:val="clear" w:color="auto" w:fill="FFFFFF" w:themeFill="background1"/>
          </w:tcPr>
          <w:p w:rsidR="00196C9F" w:rsidRPr="00196C9F" w:rsidRDefault="00196C9F" w:rsidP="007C1C0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196C9F">
              <w:rPr>
                <w:rFonts w:ascii="Times New Roman" w:hAnsi="Times New Roman" w:cs="Times New Roman"/>
                <w:b/>
                <w:lang w:val="ru-RU"/>
              </w:rPr>
              <w:t>Договора оказания услуг по учету иностранных финансовых инструментов, не квалифицированных в качестве ценных бумаг</w:t>
            </w:r>
          </w:p>
        </w:tc>
      </w:tr>
      <w:tr w:rsidR="00196C9F" w:rsidRPr="00791239" w:rsidTr="00196C9F">
        <w:trPr>
          <w:trHeight w:val="413"/>
        </w:trPr>
        <w:tc>
          <w:tcPr>
            <w:tcW w:w="12950" w:type="dxa"/>
            <w:gridSpan w:val="3"/>
            <w:shd w:val="clear" w:color="auto" w:fill="FFFFFF" w:themeFill="background1"/>
          </w:tcPr>
          <w:p w:rsidR="00196C9F" w:rsidRPr="00196C9F" w:rsidRDefault="00196C9F" w:rsidP="007C1C0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196C9F">
              <w:rPr>
                <w:rFonts w:ascii="Times New Roman" w:hAnsi="Times New Roman" w:cs="Times New Roman"/>
                <w:b/>
                <w:lang w:val="ru-RU"/>
              </w:rPr>
              <w:t>Раздел 10.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96C9F">
              <w:rPr>
                <w:rFonts w:ascii="Times New Roman" w:hAnsi="Times New Roman" w:cs="Times New Roman"/>
                <w:b/>
                <w:lang w:val="ru-RU"/>
              </w:rPr>
              <w:t>ПОРЯДОК ИЗМЕНЕНИЯ (ДОПОЛНЕНИЯ) ДОГОВОРА И ПРИЛОЖЕНИЙ К НЕМУ</w:t>
            </w:r>
          </w:p>
        </w:tc>
      </w:tr>
      <w:tr w:rsidR="00196C9F" w:rsidRPr="00791239" w:rsidTr="00285A8B">
        <w:trPr>
          <w:trHeight w:val="440"/>
        </w:trPr>
        <w:tc>
          <w:tcPr>
            <w:tcW w:w="6475" w:type="dxa"/>
            <w:gridSpan w:val="2"/>
            <w:shd w:val="clear" w:color="auto" w:fill="FFFFFF" w:themeFill="background1"/>
          </w:tcPr>
          <w:p w:rsidR="00196C9F" w:rsidRDefault="00196C9F" w:rsidP="00196C9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10.3. </w:t>
            </w:r>
            <w:r w:rsidRPr="00196C9F">
              <w:rPr>
                <w:rFonts w:ascii="Times New Roman" w:hAnsi="Times New Roman" w:cs="Times New Roman"/>
                <w:lang w:val="ru-RU"/>
              </w:rPr>
              <w:t xml:space="preserve">Для вступления в силу изменений и дополнений в Договор, вносимых Банком по собственной инициативе, не связанных с изменением нормативно-правовых актов РФ, правил и регламентов иностранных депозитариев/брокеров, бирж и организаторов торговли, клиринговых организаций и расчетных депозитариев, Банк соблюдает обязательную процедуру по предварительному раскрытию информации. Предварительное раскрытие информации о внесении изменений в Договор осуществляется Банком не позднее, чем за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196C9F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Два</w:t>
            </w:r>
            <w:r w:rsidRPr="00196C9F">
              <w:rPr>
                <w:rFonts w:ascii="Times New Roman" w:hAnsi="Times New Roman" w:cs="Times New Roman"/>
                <w:lang w:val="ru-RU"/>
              </w:rPr>
              <w:t>) рабочих дн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196C9F">
              <w:rPr>
                <w:rFonts w:ascii="Times New Roman" w:hAnsi="Times New Roman" w:cs="Times New Roman"/>
                <w:lang w:val="ru-RU"/>
              </w:rPr>
              <w:t xml:space="preserve"> до вступления в силу изменений или дополнений путем обязательной публикации новой редакции и/или текста изменений Договора на WEB-сайте.</w:t>
            </w:r>
          </w:p>
          <w:p w:rsidR="00196C9F" w:rsidRPr="00196C9F" w:rsidRDefault="00196C9F" w:rsidP="00196C9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96C9F">
              <w:rPr>
                <w:rFonts w:ascii="Times New Roman" w:hAnsi="Times New Roman" w:cs="Times New Roman"/>
                <w:lang w:val="ru-RU"/>
              </w:rPr>
              <w:t>10.4.</w:t>
            </w:r>
            <w:r w:rsidRPr="00196C9F">
              <w:rPr>
                <w:rFonts w:ascii="Times New Roman" w:hAnsi="Times New Roman" w:cs="Times New Roman"/>
                <w:lang w:val="ru-RU"/>
              </w:rPr>
              <w:tab/>
              <w:t>Все изменения и дополнения, вносимые Банком в настоящий Договор по собственной инициативе, вступают в силу с даты, наступающей после истечения 2 (Двух) рабочих дней с момента раскрытия информации, если более поздний срок не установлен Банком.</w:t>
            </w:r>
          </w:p>
        </w:tc>
        <w:tc>
          <w:tcPr>
            <w:tcW w:w="6475" w:type="dxa"/>
            <w:shd w:val="clear" w:color="auto" w:fill="FFFFFF" w:themeFill="background1"/>
          </w:tcPr>
          <w:p w:rsidR="00196C9F" w:rsidRPr="00196C9F" w:rsidRDefault="00196C9F" w:rsidP="00196C9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96C9F">
              <w:rPr>
                <w:rFonts w:ascii="Times New Roman" w:hAnsi="Times New Roman" w:cs="Times New Roman"/>
                <w:lang w:val="ru-RU"/>
              </w:rPr>
              <w:t>10.3.</w:t>
            </w:r>
            <w:r w:rsidRPr="00196C9F">
              <w:rPr>
                <w:rFonts w:ascii="Times New Roman" w:hAnsi="Times New Roman" w:cs="Times New Roman"/>
                <w:lang w:val="ru-RU"/>
              </w:rPr>
              <w:tab/>
              <w:t xml:space="preserve">Для вступления в силу изменений и дополнений в Договор, вносимых Банком по собственной инициативе, не связанных с изменением нормативно-правовых актов РФ, правил и регламентов иностранных депозитариев/брокеров, бирж и организаторов торговли, клиринговых организаций и расчетных депозитариев, Банк соблюдает обязательную процедуру по предварительному раскрытию информации. Предварительное раскрытие информации о внесении изменений в Договор осуществляется Банком не позднее, чем за </w:t>
            </w:r>
            <w:r w:rsidRPr="00196C9F">
              <w:rPr>
                <w:rFonts w:ascii="Times New Roman" w:hAnsi="Times New Roman" w:cs="Times New Roman"/>
                <w:color w:val="FF0000"/>
                <w:lang w:val="ru-RU"/>
              </w:rPr>
              <w:t>10 (Десять) рабочих дней</w:t>
            </w:r>
            <w:r w:rsidRPr="00196C9F">
              <w:rPr>
                <w:rFonts w:ascii="Times New Roman" w:hAnsi="Times New Roman" w:cs="Times New Roman"/>
                <w:lang w:val="ru-RU"/>
              </w:rPr>
              <w:t xml:space="preserve"> до вступления в силу изменений или дополнений путем обязательной публикации новой редакции и/или текста изменений Договора на WEB-сайте.</w:t>
            </w:r>
          </w:p>
          <w:p w:rsidR="00196C9F" w:rsidRPr="00196C9F" w:rsidRDefault="00196C9F" w:rsidP="00196C9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96C9F">
              <w:rPr>
                <w:rFonts w:ascii="Times New Roman" w:hAnsi="Times New Roman" w:cs="Times New Roman"/>
                <w:lang w:val="ru-RU"/>
              </w:rPr>
              <w:t>10.4.</w:t>
            </w:r>
            <w:r w:rsidRPr="00196C9F">
              <w:rPr>
                <w:rFonts w:ascii="Times New Roman" w:hAnsi="Times New Roman" w:cs="Times New Roman"/>
                <w:lang w:val="ru-RU"/>
              </w:rPr>
              <w:tab/>
              <w:t xml:space="preserve">Все изменения и дополнения, вносимые Банком в настоящий Договор по собственной инициативе, вступают в силу с даты, наступающей после истечения </w:t>
            </w:r>
            <w:r w:rsidRPr="00196C9F">
              <w:rPr>
                <w:rFonts w:ascii="Times New Roman" w:hAnsi="Times New Roman" w:cs="Times New Roman"/>
                <w:color w:val="FF0000"/>
                <w:lang w:val="ru-RU"/>
              </w:rPr>
              <w:t xml:space="preserve">10 (Десяти) </w:t>
            </w:r>
            <w:r w:rsidRPr="00196C9F">
              <w:rPr>
                <w:rFonts w:ascii="Times New Roman" w:hAnsi="Times New Roman" w:cs="Times New Roman"/>
                <w:lang w:val="ru-RU"/>
              </w:rPr>
              <w:t>рабочих дней с момента раскрытия информации, если более поздний срок не установлен Банком.</w:t>
            </w:r>
          </w:p>
        </w:tc>
      </w:tr>
    </w:tbl>
    <w:p w:rsidR="00182658" w:rsidRDefault="00182658" w:rsidP="00713DC0">
      <w:pPr>
        <w:rPr>
          <w:lang w:val="ru-RU"/>
        </w:rPr>
      </w:pPr>
    </w:p>
    <w:sectPr w:rsidR="00182658" w:rsidSect="00713DC0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C4" w:rsidRDefault="004466C4" w:rsidP="00713DC0">
      <w:pPr>
        <w:spacing w:after="0" w:line="240" w:lineRule="auto"/>
      </w:pPr>
      <w:r>
        <w:separator/>
      </w:r>
    </w:p>
  </w:endnote>
  <w:endnote w:type="continuationSeparator" w:id="0">
    <w:p w:rsidR="004466C4" w:rsidRDefault="004466C4" w:rsidP="0071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C4" w:rsidRDefault="004466C4" w:rsidP="00713DC0">
      <w:pPr>
        <w:spacing w:after="0" w:line="240" w:lineRule="auto"/>
      </w:pPr>
      <w:r>
        <w:separator/>
      </w:r>
    </w:p>
  </w:footnote>
  <w:footnote w:type="continuationSeparator" w:id="0">
    <w:p w:rsidR="004466C4" w:rsidRDefault="004466C4" w:rsidP="0071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34" w:rsidRDefault="00FD3134" w:rsidP="00FD3134">
    <w:pPr>
      <w:pStyle w:val="a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 xml:space="preserve">Приложение к Приказу </w:t>
    </w:r>
    <w:r w:rsidRPr="00704DDA">
      <w:rPr>
        <w:rFonts w:ascii="Times New Roman" w:hAnsi="Times New Roman" w:cs="Times New Roman"/>
        <w:b/>
        <w:sz w:val="20"/>
        <w:szCs w:val="20"/>
        <w:lang w:val="ru-RU"/>
      </w:rPr>
      <w:t xml:space="preserve">№ </w:t>
    </w:r>
    <w:r w:rsidR="00791239">
      <w:rPr>
        <w:rFonts w:ascii="Times New Roman" w:hAnsi="Times New Roman" w:cs="Times New Roman"/>
        <w:b/>
        <w:sz w:val="20"/>
        <w:szCs w:val="20"/>
        <w:lang w:val="ru-RU"/>
      </w:rPr>
      <w:t xml:space="preserve">256 </w:t>
    </w:r>
    <w:r w:rsidRPr="00704DDA">
      <w:rPr>
        <w:rFonts w:ascii="Times New Roman" w:hAnsi="Times New Roman" w:cs="Times New Roman"/>
        <w:b/>
        <w:sz w:val="20"/>
        <w:szCs w:val="20"/>
        <w:lang w:val="ru-RU"/>
      </w:rPr>
      <w:t>от «</w:t>
    </w:r>
    <w:r w:rsidR="00791239">
      <w:rPr>
        <w:rFonts w:ascii="Times New Roman" w:hAnsi="Times New Roman" w:cs="Times New Roman"/>
        <w:b/>
        <w:sz w:val="20"/>
        <w:szCs w:val="20"/>
        <w:lang w:val="ru-RU"/>
      </w:rPr>
      <w:t>27</w:t>
    </w:r>
    <w:r w:rsidRPr="00704DDA">
      <w:rPr>
        <w:rFonts w:ascii="Times New Roman" w:hAnsi="Times New Roman" w:cs="Times New Roman"/>
        <w:b/>
        <w:sz w:val="20"/>
        <w:szCs w:val="20"/>
        <w:lang w:val="ru-RU"/>
      </w:rPr>
      <w:t>»</w:t>
    </w:r>
    <w:r w:rsidRPr="00277CC9">
      <w:rPr>
        <w:rFonts w:ascii="Times New Roman" w:hAnsi="Times New Roman" w:cs="Times New Roman"/>
        <w:b/>
        <w:sz w:val="20"/>
        <w:szCs w:val="20"/>
        <w:lang w:val="ru-RU"/>
      </w:rPr>
      <w:t xml:space="preserve"> </w:t>
    </w:r>
    <w:r>
      <w:rPr>
        <w:rFonts w:ascii="Times New Roman" w:hAnsi="Times New Roman" w:cs="Times New Roman"/>
        <w:b/>
        <w:sz w:val="20"/>
        <w:szCs w:val="20"/>
        <w:lang w:val="ru-RU"/>
      </w:rPr>
      <w:t>марта</w:t>
    </w:r>
    <w:r w:rsidRPr="00704DDA">
      <w:rPr>
        <w:rFonts w:ascii="Times New Roman" w:hAnsi="Times New Roman" w:cs="Times New Roman"/>
        <w:b/>
        <w:sz w:val="20"/>
        <w:szCs w:val="20"/>
        <w:lang w:val="ru-RU"/>
      </w:rPr>
      <w:t xml:space="preserve"> 202</w:t>
    </w:r>
    <w:r>
      <w:rPr>
        <w:rFonts w:ascii="Times New Roman" w:hAnsi="Times New Roman" w:cs="Times New Roman"/>
        <w:b/>
        <w:sz w:val="20"/>
        <w:szCs w:val="20"/>
        <w:lang w:val="ru-RU"/>
      </w:rPr>
      <w:t xml:space="preserve">4 </w:t>
    </w:r>
    <w:r w:rsidRPr="00704DDA">
      <w:rPr>
        <w:rFonts w:ascii="Times New Roman" w:hAnsi="Times New Roman" w:cs="Times New Roman"/>
        <w:b/>
        <w:sz w:val="20"/>
        <w:szCs w:val="20"/>
        <w:lang w:val="ru-RU"/>
      </w:rPr>
      <w:t>г</w:t>
    </w:r>
    <w:r>
      <w:rPr>
        <w:rFonts w:ascii="Times New Roman" w:hAnsi="Times New Roman" w:cs="Times New Roman"/>
        <w:b/>
        <w:sz w:val="20"/>
        <w:szCs w:val="20"/>
        <w:lang w:val="ru-RU"/>
      </w:rPr>
      <w:t>.</w:t>
    </w:r>
  </w:p>
  <w:p w:rsidR="00FD3134" w:rsidRDefault="00FD3134" w:rsidP="00FD3134">
    <w:pPr>
      <w:pStyle w:val="a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>«</w:t>
    </w:r>
    <w:r w:rsidRPr="0074773A">
      <w:rPr>
        <w:rFonts w:ascii="Times New Roman" w:hAnsi="Times New Roman" w:cs="Times New Roman"/>
        <w:b/>
        <w:sz w:val="20"/>
        <w:szCs w:val="20"/>
        <w:lang w:val="ru-RU"/>
      </w:rPr>
      <w:t>Об утверждении новой редакции «</w:t>
    </w:r>
    <w:r>
      <w:rPr>
        <w:rFonts w:ascii="Times New Roman" w:hAnsi="Times New Roman" w:cs="Times New Roman"/>
        <w:b/>
        <w:sz w:val="20"/>
        <w:szCs w:val="20"/>
        <w:lang w:val="ru-RU"/>
      </w:rPr>
      <w:t xml:space="preserve">Договора </w:t>
    </w:r>
    <w:r w:rsidRPr="00BE383A">
      <w:rPr>
        <w:rFonts w:ascii="Times New Roman" w:hAnsi="Times New Roman" w:cs="Times New Roman"/>
        <w:b/>
        <w:sz w:val="20"/>
        <w:szCs w:val="20"/>
        <w:lang w:val="ru-RU"/>
      </w:rPr>
      <w:t>оказания услуг по учету иностранных финансовых инструментов, не квалифицированных в качестве ценных бумаг</w:t>
    </w:r>
    <w:r w:rsidR="00BF0C5C">
      <w:rPr>
        <w:rFonts w:ascii="Times New Roman" w:hAnsi="Times New Roman" w:cs="Times New Roman"/>
        <w:b/>
        <w:sz w:val="20"/>
        <w:szCs w:val="20"/>
        <w:lang w:val="ru-RU"/>
      </w:rPr>
      <w:t>. Версия 14.0</w:t>
    </w:r>
    <w:r>
      <w:rPr>
        <w:rFonts w:ascii="Times New Roman" w:hAnsi="Times New Roman" w:cs="Times New Roman"/>
        <w:b/>
        <w:sz w:val="20"/>
        <w:szCs w:val="20"/>
        <w:lang w:val="ru-RU"/>
      </w:rPr>
      <w:t>»</w:t>
    </w:r>
  </w:p>
  <w:p w:rsidR="00BE383A" w:rsidRPr="00BE383A" w:rsidRDefault="00BE383A" w:rsidP="00FD3134">
    <w:pPr>
      <w:pStyle w:val="a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 xml:space="preserve">Изменения условий Договора </w:t>
    </w:r>
    <w:r w:rsidRPr="00BE383A">
      <w:rPr>
        <w:rFonts w:ascii="Times New Roman" w:hAnsi="Times New Roman" w:cs="Times New Roman"/>
        <w:b/>
        <w:sz w:val="20"/>
        <w:szCs w:val="20"/>
        <w:lang w:val="ru-RU"/>
      </w:rPr>
      <w:t>оказания услуг по учету иностранных финансовых инструментов, не квалифицированных в качестве ценных бумаг</w:t>
    </w:r>
  </w:p>
  <w:p w:rsidR="00713DC0" w:rsidRPr="00713DC0" w:rsidRDefault="00713DC0" w:rsidP="00FD3134">
    <w:pPr>
      <w:pStyle w:val="a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 w:rsidRPr="00713DC0">
      <w:rPr>
        <w:rFonts w:ascii="Times New Roman" w:hAnsi="Times New Roman" w:cs="Times New Roman"/>
        <w:b/>
        <w:sz w:val="20"/>
        <w:szCs w:val="20"/>
        <w:lang w:val="ru-RU"/>
      </w:rPr>
      <w:t>Вступа</w:t>
    </w:r>
    <w:r w:rsidR="000E658E">
      <w:rPr>
        <w:rFonts w:ascii="Times New Roman" w:hAnsi="Times New Roman" w:cs="Times New Roman"/>
        <w:b/>
        <w:sz w:val="20"/>
        <w:szCs w:val="20"/>
        <w:lang w:val="ru-RU"/>
      </w:rPr>
      <w:t>ю</w:t>
    </w:r>
    <w:r w:rsidRPr="00713DC0">
      <w:rPr>
        <w:rFonts w:ascii="Times New Roman" w:hAnsi="Times New Roman" w:cs="Times New Roman"/>
        <w:b/>
        <w:sz w:val="20"/>
        <w:szCs w:val="20"/>
        <w:lang w:val="ru-RU"/>
      </w:rPr>
      <w:t>т в силу с «</w:t>
    </w:r>
    <w:r w:rsidR="004D36DC">
      <w:rPr>
        <w:rFonts w:ascii="Times New Roman" w:hAnsi="Times New Roman" w:cs="Times New Roman"/>
        <w:b/>
        <w:sz w:val="20"/>
        <w:szCs w:val="20"/>
        <w:lang w:val="ru-RU"/>
      </w:rPr>
      <w:t>30</w:t>
    </w:r>
    <w:r w:rsidRPr="00713DC0">
      <w:rPr>
        <w:rFonts w:ascii="Times New Roman" w:hAnsi="Times New Roman" w:cs="Times New Roman"/>
        <w:b/>
        <w:sz w:val="20"/>
        <w:szCs w:val="20"/>
        <w:lang w:val="ru-RU"/>
      </w:rPr>
      <w:t xml:space="preserve">» </w:t>
    </w:r>
    <w:r w:rsidR="007C1C0A">
      <w:rPr>
        <w:rFonts w:ascii="Times New Roman" w:hAnsi="Times New Roman" w:cs="Times New Roman"/>
        <w:b/>
        <w:sz w:val="20"/>
        <w:szCs w:val="20"/>
        <w:lang w:val="ru-RU"/>
      </w:rPr>
      <w:t xml:space="preserve">марта </w:t>
    </w:r>
    <w:r w:rsidRPr="00713DC0">
      <w:rPr>
        <w:rFonts w:ascii="Times New Roman" w:hAnsi="Times New Roman" w:cs="Times New Roman"/>
        <w:b/>
        <w:sz w:val="20"/>
        <w:szCs w:val="20"/>
        <w:lang w:val="ru-RU"/>
      </w:rPr>
      <w:t>20</w:t>
    </w:r>
    <w:r w:rsidR="004B22B7">
      <w:rPr>
        <w:rFonts w:ascii="Times New Roman" w:hAnsi="Times New Roman" w:cs="Times New Roman"/>
        <w:b/>
        <w:sz w:val="20"/>
        <w:szCs w:val="20"/>
        <w:lang w:val="ru-RU"/>
      </w:rPr>
      <w:t>2</w:t>
    </w:r>
    <w:r w:rsidR="007C1C0A">
      <w:rPr>
        <w:rFonts w:ascii="Times New Roman" w:hAnsi="Times New Roman" w:cs="Times New Roman"/>
        <w:b/>
        <w:sz w:val="20"/>
        <w:szCs w:val="20"/>
        <w:lang w:val="ru-RU"/>
      </w:rPr>
      <w:t>4</w:t>
    </w:r>
    <w:r w:rsidR="00BF0C5C">
      <w:rPr>
        <w:rFonts w:ascii="Times New Roman" w:hAnsi="Times New Roman" w:cs="Times New Roman"/>
        <w:b/>
        <w:sz w:val="20"/>
        <w:szCs w:val="20"/>
        <w:lang w:val="ru-RU"/>
      </w:rPr>
      <w:t xml:space="preserve"> </w:t>
    </w:r>
    <w:r w:rsidRPr="00713DC0">
      <w:rPr>
        <w:rFonts w:ascii="Times New Roman" w:hAnsi="Times New Roman" w:cs="Times New Roman"/>
        <w:b/>
        <w:sz w:val="20"/>
        <w:szCs w:val="20"/>
        <w:lang w:val="ru-RU"/>
      </w:rPr>
      <w:t>г</w:t>
    </w:r>
    <w:r w:rsidR="00BF0C5C">
      <w:rPr>
        <w:rFonts w:ascii="Times New Roman" w:hAnsi="Times New Roman" w:cs="Times New Roman"/>
        <w:b/>
        <w:sz w:val="20"/>
        <w:szCs w:val="20"/>
        <w:lang w:val="ru-RU"/>
      </w:rPr>
      <w:t>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A9"/>
    <w:multiLevelType w:val="hybridMultilevel"/>
    <w:tmpl w:val="A8067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3CE"/>
    <w:multiLevelType w:val="hybridMultilevel"/>
    <w:tmpl w:val="AE84A924"/>
    <w:lvl w:ilvl="0" w:tplc="69E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E31"/>
    <w:multiLevelType w:val="multilevel"/>
    <w:tmpl w:val="6B446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6" w:hanging="1440"/>
      </w:pPr>
      <w:rPr>
        <w:rFonts w:hint="default"/>
      </w:rPr>
    </w:lvl>
  </w:abstractNum>
  <w:abstractNum w:abstractNumId="3" w15:restartNumberingAfterBreak="0">
    <w:nsid w:val="09C03CBC"/>
    <w:multiLevelType w:val="hybridMultilevel"/>
    <w:tmpl w:val="66D43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A62"/>
    <w:multiLevelType w:val="hybridMultilevel"/>
    <w:tmpl w:val="86D4D92E"/>
    <w:lvl w:ilvl="0" w:tplc="78060D7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297EB1"/>
    <w:multiLevelType w:val="multilevel"/>
    <w:tmpl w:val="953EF130"/>
    <w:lvl w:ilvl="0">
      <w:start w:val="1"/>
      <w:numFmt w:val="decimal"/>
      <w:lvlText w:val="%1."/>
      <w:lvlJc w:val="left"/>
      <w:pPr>
        <w:ind w:left="384" w:hanging="284"/>
      </w:pPr>
      <w:rPr>
        <w:rFonts w:ascii="Times New Roman" w:eastAsia="Arial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3" w:hanging="425"/>
      </w:pPr>
      <w:rPr>
        <w:rFonts w:ascii="Times New Roman" w:eastAsia="Arial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2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FFA012E"/>
    <w:multiLevelType w:val="hybridMultilevel"/>
    <w:tmpl w:val="DB0AA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F6"/>
    <w:multiLevelType w:val="multilevel"/>
    <w:tmpl w:val="C59EDA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9F4CAB"/>
    <w:multiLevelType w:val="multilevel"/>
    <w:tmpl w:val="9F16B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BD2417"/>
    <w:multiLevelType w:val="hybridMultilevel"/>
    <w:tmpl w:val="8D0A4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24DB"/>
    <w:multiLevelType w:val="hybridMultilevel"/>
    <w:tmpl w:val="55564F66"/>
    <w:lvl w:ilvl="0" w:tplc="9A8C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4D02"/>
    <w:multiLevelType w:val="hybridMultilevel"/>
    <w:tmpl w:val="00425D44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997E50"/>
    <w:multiLevelType w:val="multilevel"/>
    <w:tmpl w:val="F9A273F6"/>
    <w:lvl w:ilvl="0">
      <w:start w:val="3"/>
      <w:numFmt w:val="decimal"/>
      <w:lvlText w:val="%1"/>
      <w:lvlJc w:val="left"/>
      <w:pPr>
        <w:ind w:left="95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567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3828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"/>
      <w:lvlJc w:val="left"/>
      <w:pPr>
        <w:ind w:left="2094" w:hanging="5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1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1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68490067"/>
    <w:multiLevelType w:val="multilevel"/>
    <w:tmpl w:val="B6149CB8"/>
    <w:lvl w:ilvl="0">
      <w:start w:val="4"/>
      <w:numFmt w:val="decimal"/>
      <w:lvlText w:val="%1."/>
      <w:lvlJc w:val="left"/>
      <w:pPr>
        <w:ind w:left="375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4" w15:restartNumberingAfterBreak="0">
    <w:nsid w:val="6D175F22"/>
    <w:multiLevelType w:val="hybridMultilevel"/>
    <w:tmpl w:val="C6F8B264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D275004"/>
    <w:multiLevelType w:val="hybridMultilevel"/>
    <w:tmpl w:val="E3A84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1110C"/>
    <w:multiLevelType w:val="hybridMultilevel"/>
    <w:tmpl w:val="39A82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D6686"/>
    <w:multiLevelType w:val="hybridMultilevel"/>
    <w:tmpl w:val="F0CA3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1082"/>
    <w:multiLevelType w:val="hybridMultilevel"/>
    <w:tmpl w:val="0A90B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75725"/>
    <w:multiLevelType w:val="hybridMultilevel"/>
    <w:tmpl w:val="799E3530"/>
    <w:lvl w:ilvl="0" w:tplc="37AAC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AD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2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0F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C3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00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8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29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04DF1"/>
    <w:multiLevelType w:val="multilevel"/>
    <w:tmpl w:val="441678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7"/>
  </w:num>
  <w:num w:numId="5">
    <w:abstractNumId w:val="20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C0"/>
    <w:rsid w:val="00000597"/>
    <w:rsid w:val="00006DCE"/>
    <w:rsid w:val="000371BC"/>
    <w:rsid w:val="0009784D"/>
    <w:rsid w:val="000E0B0C"/>
    <w:rsid w:val="000E658E"/>
    <w:rsid w:val="000F0421"/>
    <w:rsid w:val="000F72AC"/>
    <w:rsid w:val="00136C78"/>
    <w:rsid w:val="001611D3"/>
    <w:rsid w:val="001665C1"/>
    <w:rsid w:val="00182658"/>
    <w:rsid w:val="00196C9F"/>
    <w:rsid w:val="001C0A95"/>
    <w:rsid w:val="001C6748"/>
    <w:rsid w:val="001C796D"/>
    <w:rsid w:val="001D0950"/>
    <w:rsid w:val="002256AD"/>
    <w:rsid w:val="0024215E"/>
    <w:rsid w:val="002479A2"/>
    <w:rsid w:val="00257318"/>
    <w:rsid w:val="00262A79"/>
    <w:rsid w:val="002D7A75"/>
    <w:rsid w:val="002E7BFD"/>
    <w:rsid w:val="00327F8E"/>
    <w:rsid w:val="00347184"/>
    <w:rsid w:val="00393983"/>
    <w:rsid w:val="003E21C6"/>
    <w:rsid w:val="00407D87"/>
    <w:rsid w:val="00415682"/>
    <w:rsid w:val="004466C4"/>
    <w:rsid w:val="004B22B7"/>
    <w:rsid w:val="004D36DC"/>
    <w:rsid w:val="00533876"/>
    <w:rsid w:val="005649CE"/>
    <w:rsid w:val="005819CB"/>
    <w:rsid w:val="005A6FE6"/>
    <w:rsid w:val="005D2D13"/>
    <w:rsid w:val="005E503A"/>
    <w:rsid w:val="00602731"/>
    <w:rsid w:val="0060364B"/>
    <w:rsid w:val="00610951"/>
    <w:rsid w:val="00652C0E"/>
    <w:rsid w:val="00713DC0"/>
    <w:rsid w:val="00750232"/>
    <w:rsid w:val="007549FB"/>
    <w:rsid w:val="00772496"/>
    <w:rsid w:val="00773A0E"/>
    <w:rsid w:val="00791239"/>
    <w:rsid w:val="007940A1"/>
    <w:rsid w:val="007B4E23"/>
    <w:rsid w:val="007B4EDB"/>
    <w:rsid w:val="007C1C0A"/>
    <w:rsid w:val="007C4FB7"/>
    <w:rsid w:val="007E45CD"/>
    <w:rsid w:val="007F77E7"/>
    <w:rsid w:val="00832D48"/>
    <w:rsid w:val="00843199"/>
    <w:rsid w:val="00896913"/>
    <w:rsid w:val="008A15FE"/>
    <w:rsid w:val="008B2187"/>
    <w:rsid w:val="008D0A7E"/>
    <w:rsid w:val="008D1CA3"/>
    <w:rsid w:val="008F7BE6"/>
    <w:rsid w:val="00924785"/>
    <w:rsid w:val="00925BB2"/>
    <w:rsid w:val="00960B88"/>
    <w:rsid w:val="009964D5"/>
    <w:rsid w:val="009A1E71"/>
    <w:rsid w:val="009D4103"/>
    <w:rsid w:val="00A2746F"/>
    <w:rsid w:val="00A41353"/>
    <w:rsid w:val="00A428E2"/>
    <w:rsid w:val="00A55AE9"/>
    <w:rsid w:val="00A77F46"/>
    <w:rsid w:val="00AA5295"/>
    <w:rsid w:val="00AA6A29"/>
    <w:rsid w:val="00AC67CB"/>
    <w:rsid w:val="00AD708A"/>
    <w:rsid w:val="00AE2F5D"/>
    <w:rsid w:val="00B15470"/>
    <w:rsid w:val="00B234A6"/>
    <w:rsid w:val="00B458D5"/>
    <w:rsid w:val="00B638E6"/>
    <w:rsid w:val="00BC1B3E"/>
    <w:rsid w:val="00BE32E8"/>
    <w:rsid w:val="00BE383A"/>
    <w:rsid w:val="00BF0C5C"/>
    <w:rsid w:val="00C17CA4"/>
    <w:rsid w:val="00C32C01"/>
    <w:rsid w:val="00C36109"/>
    <w:rsid w:val="00C96AA8"/>
    <w:rsid w:val="00CC3A94"/>
    <w:rsid w:val="00CE5C5B"/>
    <w:rsid w:val="00D07242"/>
    <w:rsid w:val="00D24792"/>
    <w:rsid w:val="00D905BB"/>
    <w:rsid w:val="00D94CD3"/>
    <w:rsid w:val="00DC7771"/>
    <w:rsid w:val="00DD6C02"/>
    <w:rsid w:val="00DE228E"/>
    <w:rsid w:val="00E038C5"/>
    <w:rsid w:val="00E03B27"/>
    <w:rsid w:val="00E152CC"/>
    <w:rsid w:val="00E211CF"/>
    <w:rsid w:val="00E23B5F"/>
    <w:rsid w:val="00E23D40"/>
    <w:rsid w:val="00E2485A"/>
    <w:rsid w:val="00E507CC"/>
    <w:rsid w:val="00E601C0"/>
    <w:rsid w:val="00E946C9"/>
    <w:rsid w:val="00EA5CB9"/>
    <w:rsid w:val="00EC0ECC"/>
    <w:rsid w:val="00EE5F7B"/>
    <w:rsid w:val="00F32792"/>
    <w:rsid w:val="00F53A86"/>
    <w:rsid w:val="00F61D7F"/>
    <w:rsid w:val="00F92F62"/>
    <w:rsid w:val="00FA0639"/>
    <w:rsid w:val="00FD3134"/>
    <w:rsid w:val="00FE2C4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1471"/>
  <w15:chartTrackingRefBased/>
  <w15:docId w15:val="{9052D854-F091-4935-B605-FA476D9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AC"/>
  </w:style>
  <w:style w:type="paragraph" w:styleId="1">
    <w:name w:val="heading 1"/>
    <w:basedOn w:val="a"/>
    <w:next w:val="a"/>
    <w:link w:val="10"/>
    <w:uiPriority w:val="1"/>
    <w:qFormat/>
    <w:rsid w:val="002E7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1C0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DC0"/>
  </w:style>
  <w:style w:type="paragraph" w:styleId="a5">
    <w:name w:val="footer"/>
    <w:basedOn w:val="a"/>
    <w:link w:val="a6"/>
    <w:uiPriority w:val="99"/>
    <w:unhideWhenUsed/>
    <w:rsid w:val="0071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DC0"/>
  </w:style>
  <w:style w:type="table" w:styleId="a7">
    <w:name w:val="Table Grid"/>
    <w:basedOn w:val="a1"/>
    <w:uiPriority w:val="39"/>
    <w:rsid w:val="0071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1"/>
    <w:qFormat/>
    <w:rsid w:val="00AD708A"/>
    <w:pPr>
      <w:widowControl w:val="0"/>
      <w:autoSpaceDE w:val="0"/>
      <w:autoSpaceDN w:val="0"/>
      <w:spacing w:after="0" w:line="240" w:lineRule="auto"/>
      <w:ind w:left="962"/>
    </w:pPr>
    <w:rPr>
      <w:rFonts w:ascii="Arial" w:eastAsia="Arial" w:hAnsi="Arial" w:cs="Arial"/>
      <w:lang w:val="ru-RU"/>
    </w:rPr>
  </w:style>
  <w:style w:type="character" w:styleId="aa">
    <w:name w:val="annotation reference"/>
    <w:basedOn w:val="a0"/>
    <w:uiPriority w:val="99"/>
    <w:semiHidden/>
    <w:unhideWhenUsed/>
    <w:rsid w:val="00832D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2D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2D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2D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2D4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3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2D4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C0A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E7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Body Text"/>
    <w:basedOn w:val="a"/>
    <w:link w:val="af2"/>
    <w:uiPriority w:val="1"/>
    <w:qFormat/>
    <w:rsid w:val="005E503A"/>
    <w:pPr>
      <w:widowControl w:val="0"/>
      <w:autoSpaceDE w:val="0"/>
      <w:autoSpaceDN w:val="0"/>
      <w:spacing w:before="119" w:after="0" w:line="240" w:lineRule="auto"/>
      <w:ind w:left="1811" w:hanging="567"/>
      <w:jc w:val="both"/>
    </w:pPr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5E503A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f3">
    <w:name w:val="No Spacing"/>
    <w:uiPriority w:val="1"/>
    <w:qFormat/>
    <w:rsid w:val="00182658"/>
    <w:pPr>
      <w:spacing w:after="0" w:line="240" w:lineRule="auto"/>
    </w:pPr>
  </w:style>
  <w:style w:type="paragraph" w:customStyle="1" w:styleId="null">
    <w:name w:val="null"/>
    <w:basedOn w:val="a"/>
    <w:rsid w:val="00182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a0"/>
    <w:rsid w:val="00182658"/>
  </w:style>
  <w:style w:type="paragraph" w:styleId="af4">
    <w:name w:val="footnote text"/>
    <w:basedOn w:val="a"/>
    <w:link w:val="af5"/>
    <w:unhideWhenUsed/>
    <w:rsid w:val="00BE32E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32E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E32E8"/>
    <w:rPr>
      <w:vertAlign w:val="superscript"/>
    </w:rPr>
  </w:style>
  <w:style w:type="character" w:customStyle="1" w:styleId="a9">
    <w:name w:val="Абзац списка Знак"/>
    <w:basedOn w:val="a0"/>
    <w:link w:val="a8"/>
    <w:uiPriority w:val="1"/>
    <w:rsid w:val="00C32C01"/>
    <w:rPr>
      <w:rFonts w:ascii="Arial" w:eastAsia="Arial" w:hAnsi="Arial" w:cs="Arial"/>
      <w:lang w:val="ru-RU"/>
    </w:rPr>
  </w:style>
  <w:style w:type="table" w:customStyle="1" w:styleId="TableGrid1">
    <w:name w:val="Table Grid1"/>
    <w:basedOn w:val="a1"/>
    <w:next w:val="a7"/>
    <w:uiPriority w:val="39"/>
    <w:rsid w:val="007502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940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40A1"/>
  </w:style>
  <w:style w:type="paragraph" w:styleId="af7">
    <w:name w:val="endnote text"/>
    <w:basedOn w:val="a"/>
    <w:link w:val="af8"/>
    <w:uiPriority w:val="99"/>
    <w:semiHidden/>
    <w:rsid w:val="00A77F46"/>
    <w:pPr>
      <w:spacing w:after="200" w:line="276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77F46"/>
    <w:rPr>
      <w:rFonts w:ascii="Tahoma" w:eastAsia="Times New Roman" w:hAnsi="Tahoma" w:cs="Times New Roman"/>
      <w:sz w:val="20"/>
      <w:szCs w:val="20"/>
      <w:lang w:val="ru-RU"/>
    </w:rPr>
  </w:style>
  <w:style w:type="character" w:styleId="af9">
    <w:name w:val="endnote reference"/>
    <w:basedOn w:val="a0"/>
    <w:uiPriority w:val="99"/>
    <w:semiHidden/>
    <w:rsid w:val="00A77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A390-1B60-4DF2-97CE-BA5E17625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7D9A6-4F37-4388-BDBE-5F617E5EA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77B0F-55BC-4DCA-832C-C82DE3AD8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E8D509-390A-4994-9A37-CF00415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 Elena</dc:creator>
  <cp:keywords/>
  <dc:description/>
  <cp:lastModifiedBy>Ошуркова Ксения Витальевна</cp:lastModifiedBy>
  <cp:revision>34</cp:revision>
  <dcterms:created xsi:type="dcterms:W3CDTF">2023-04-21T14:47:00Z</dcterms:created>
  <dcterms:modified xsi:type="dcterms:W3CDTF">2024-03-27T08:40:00Z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